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69" w:rsidRDefault="0035107B" w:rsidP="009B0B69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4918AF" w:rsidRPr="009B0B69" w:rsidRDefault="0035107B" w:rsidP="009B0B69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9B0B69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9B0B69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9B0B69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9B0B69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4918AF" w:rsidRPr="009B0B69" w:rsidRDefault="0035107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9B0B69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9B0B69">
        <w:rPr>
          <w:rFonts w:ascii="Book Antiqua" w:hAnsi="Book Antiqua"/>
          <w:b/>
          <w:bCs/>
          <w:sz w:val="21"/>
          <w:szCs w:val="21"/>
        </w:rPr>
        <w:t xml:space="preserve"> Délegyházi I-VI. </w:t>
      </w:r>
      <w:proofErr w:type="gramStart"/>
      <w:r w:rsidRPr="009B0B69">
        <w:rPr>
          <w:rFonts w:ascii="Book Antiqua" w:hAnsi="Book Antiqua"/>
          <w:b/>
          <w:bCs/>
          <w:sz w:val="21"/>
          <w:szCs w:val="21"/>
        </w:rPr>
        <w:t>tavak</w:t>
      </w:r>
      <w:proofErr w:type="gramEnd"/>
      <w:r w:rsidRPr="009B0B69">
        <w:rPr>
          <w:rFonts w:ascii="Book Antiqua" w:hAnsi="Book Antiqua"/>
          <w:b/>
          <w:bCs/>
          <w:sz w:val="21"/>
          <w:szCs w:val="21"/>
        </w:rPr>
        <w:t xml:space="preserve"> és környékének használatáról és rendjéről</w:t>
      </w:r>
    </w:p>
    <w:p w:rsidR="004918AF" w:rsidRPr="009B0B69" w:rsidRDefault="0035107B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Délegyháza Község Önkormányzatának Képviselő-testülete az Alaptörvény 32. Cikk (2) </w:t>
      </w:r>
      <w:r w:rsidRPr="009B0B69">
        <w:rPr>
          <w:rFonts w:ascii="Book Antiqua" w:hAnsi="Book Antiqua"/>
          <w:sz w:val="21"/>
          <w:szCs w:val="21"/>
        </w:rPr>
        <w:t>bekezdésében meghatározott eredeti jogalkotói hatáskörében, az Alaptörvény 32. Cikk (1) bekezdés a) és e) pontjában, és a Magyarország helyi önkormányzatairól szóló 2011. évi CLXXXIX. törvény 13. § (1) bekezdés 11. pontjában meghatározott feladatkörében el</w:t>
      </w:r>
      <w:r w:rsidRPr="009B0B69">
        <w:rPr>
          <w:rFonts w:ascii="Book Antiqua" w:hAnsi="Book Antiqua"/>
          <w:sz w:val="21"/>
          <w:szCs w:val="21"/>
        </w:rPr>
        <w:t>járva, a Magyarország helyi önkormányzatairól szóló 2011. évi CLXXXIX. törvény 143. § (4) bekezdés d) pontjában kapott felhatalmazás alapján a következőket rendeli el:</w:t>
      </w:r>
    </w:p>
    <w:p w:rsidR="004918AF" w:rsidRPr="009B0B69" w:rsidRDefault="0035107B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1. Általános rendelkezések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1.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A rendelet hatálya a Délegyháza Község Önkormányzata (a </w:t>
      </w:r>
      <w:r w:rsidRPr="009B0B69">
        <w:rPr>
          <w:rFonts w:ascii="Book Antiqua" w:hAnsi="Book Antiqua"/>
          <w:sz w:val="21"/>
          <w:szCs w:val="21"/>
        </w:rPr>
        <w:t>továbbiakban: Önkormányzat) 1/</w:t>
      </w:r>
      <w:proofErr w:type="spellStart"/>
      <w:r w:rsidRPr="009B0B69">
        <w:rPr>
          <w:rFonts w:ascii="Book Antiqua" w:hAnsi="Book Antiqua"/>
          <w:sz w:val="21"/>
          <w:szCs w:val="21"/>
        </w:rPr>
        <w:t>1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arányú kizárólagos tulajdonban álló Délegyháza I-VI. </w:t>
      </w:r>
      <w:proofErr w:type="gramStart"/>
      <w:r w:rsidRPr="009B0B69">
        <w:rPr>
          <w:rFonts w:ascii="Book Antiqua" w:hAnsi="Book Antiqua"/>
          <w:sz w:val="21"/>
          <w:szCs w:val="21"/>
        </w:rPr>
        <w:t>tavakra</w:t>
      </w:r>
      <w:proofErr w:type="gramEnd"/>
      <w:r w:rsidRPr="009B0B69">
        <w:rPr>
          <w:rFonts w:ascii="Book Antiqua" w:hAnsi="Book Antiqua"/>
          <w:sz w:val="21"/>
          <w:szCs w:val="21"/>
        </w:rPr>
        <w:t>, mint belterületi ingatlanokra (a továbbiakban: tavak), és közvetlen környezetükre (tóparti szakaszokra, a továbbiakban: partszakasz/tópart), továbbá azok használa</w:t>
      </w:r>
      <w:r w:rsidRPr="009B0B69">
        <w:rPr>
          <w:rFonts w:ascii="Book Antiqua" w:hAnsi="Book Antiqua"/>
          <w:sz w:val="21"/>
          <w:szCs w:val="21"/>
        </w:rPr>
        <w:t xml:space="preserve">tára terjed ki. A Délegyháza I-VI. </w:t>
      </w:r>
      <w:proofErr w:type="gramStart"/>
      <w:r w:rsidRPr="009B0B69">
        <w:rPr>
          <w:rFonts w:ascii="Book Antiqua" w:hAnsi="Book Antiqua"/>
          <w:sz w:val="21"/>
          <w:szCs w:val="21"/>
        </w:rPr>
        <w:t>tavak</w:t>
      </w:r>
      <w:proofErr w:type="gramEnd"/>
      <w:r w:rsidRPr="009B0B69">
        <w:rPr>
          <w:rFonts w:ascii="Book Antiqua" w:hAnsi="Book Antiqua"/>
          <w:sz w:val="21"/>
          <w:szCs w:val="21"/>
        </w:rPr>
        <w:t xml:space="preserve"> lehatárolását a rendelet 1. melléklete tartalmazza.</w:t>
      </w:r>
    </w:p>
    <w:p w:rsidR="004918AF" w:rsidRPr="009B0B69" w:rsidRDefault="0035107B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2. A tavak használata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2.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A tavak fürdőzési célú használata kizárólag az erre kijelölt, fürdőhelyengedéllyel rendelkező partszakaszokon engedélyezett, minden egyé</w:t>
      </w:r>
      <w:r w:rsidRPr="009B0B69">
        <w:rPr>
          <w:rFonts w:ascii="Book Antiqua" w:hAnsi="Book Antiqua"/>
          <w:sz w:val="21"/>
          <w:szCs w:val="21"/>
        </w:rPr>
        <w:t>b ki nem épített szabad partszakaszon és tóparti területen fokozottan veszélyes. A tavak horgászati célú használatára Délegyháza Község Önkormányzata külön szerződést kötött az érintett horgászegyesületekkel, így a tavak elsődleges használata horgászati cé</w:t>
      </w:r>
      <w:r w:rsidRPr="009B0B69">
        <w:rPr>
          <w:rFonts w:ascii="Book Antiqua" w:hAnsi="Book Antiqua"/>
          <w:sz w:val="21"/>
          <w:szCs w:val="21"/>
        </w:rPr>
        <w:t>lú. Az elsődleges horgászati cél nem érvényesíthető az alábbi helyeken és időszakban: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9B0B69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9B0B69">
        <w:rPr>
          <w:rFonts w:ascii="Book Antiqua" w:hAnsi="Book Antiqua"/>
          <w:i/>
          <w:iCs/>
          <w:sz w:val="21"/>
          <w:szCs w:val="21"/>
        </w:rPr>
        <w:t>)</w:t>
      </w:r>
      <w:r w:rsidRPr="009B0B69">
        <w:rPr>
          <w:rFonts w:ascii="Book Antiqua" w:hAnsi="Book Antiqua"/>
          <w:sz w:val="21"/>
          <w:szCs w:val="21"/>
        </w:rPr>
        <w:tab/>
      </w:r>
      <w:proofErr w:type="spellStart"/>
      <w:r w:rsidRPr="009B0B69">
        <w:rPr>
          <w:rFonts w:ascii="Book Antiqua" w:hAnsi="Book Antiqua"/>
          <w:sz w:val="21"/>
          <w:szCs w:val="21"/>
        </w:rPr>
        <w:t>A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kijelölt fürdőhelyeken egész évben,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i/>
          <w:iCs/>
          <w:sz w:val="21"/>
          <w:szCs w:val="21"/>
        </w:rPr>
        <w:t>b)</w:t>
      </w:r>
      <w:r w:rsidRPr="009B0B69">
        <w:rPr>
          <w:rFonts w:ascii="Book Antiqua" w:hAnsi="Book Antiqua"/>
          <w:sz w:val="21"/>
          <w:szCs w:val="21"/>
        </w:rPr>
        <w:tab/>
        <w:t xml:space="preserve">Délegyháza 396 </w:t>
      </w:r>
      <w:proofErr w:type="spellStart"/>
      <w:r w:rsidRPr="009B0B69">
        <w:rPr>
          <w:rFonts w:ascii="Book Antiqua" w:hAnsi="Book Antiqua"/>
          <w:sz w:val="21"/>
          <w:szCs w:val="21"/>
        </w:rPr>
        <w:t>hrsz-ú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ingatlan II. tóval érintett parti szakasza (a köznyelvben </w:t>
      </w:r>
      <w:proofErr w:type="spellStart"/>
      <w:r w:rsidRPr="009B0B69">
        <w:rPr>
          <w:rFonts w:ascii="Book Antiqua" w:hAnsi="Book Antiqua"/>
          <w:sz w:val="21"/>
          <w:szCs w:val="21"/>
        </w:rPr>
        <w:t>ú.n</w:t>
      </w:r>
      <w:proofErr w:type="spellEnd"/>
      <w:r w:rsidRPr="009B0B69">
        <w:rPr>
          <w:rFonts w:ascii="Book Antiqua" w:hAnsi="Book Antiqua"/>
          <w:sz w:val="21"/>
          <w:szCs w:val="21"/>
        </w:rPr>
        <w:t>. „Sirály strand” megjelölésű részén) minde</w:t>
      </w:r>
      <w:r w:rsidRPr="009B0B69">
        <w:rPr>
          <w:rFonts w:ascii="Book Antiqua" w:hAnsi="Book Antiqua"/>
          <w:sz w:val="21"/>
          <w:szCs w:val="21"/>
        </w:rPr>
        <w:t>n év május 15. és szeptember 15. között,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i/>
          <w:iCs/>
          <w:sz w:val="21"/>
          <w:szCs w:val="21"/>
        </w:rPr>
        <w:t>c)</w:t>
      </w:r>
      <w:r w:rsidRPr="009B0B69">
        <w:rPr>
          <w:rFonts w:ascii="Book Antiqua" w:hAnsi="Book Antiqua"/>
          <w:sz w:val="21"/>
          <w:szCs w:val="21"/>
        </w:rPr>
        <w:tab/>
        <w:t xml:space="preserve">Délegyháza 286/7 </w:t>
      </w:r>
      <w:proofErr w:type="spellStart"/>
      <w:r w:rsidRPr="009B0B69">
        <w:rPr>
          <w:rFonts w:ascii="Book Antiqua" w:hAnsi="Book Antiqua"/>
          <w:sz w:val="21"/>
          <w:szCs w:val="21"/>
        </w:rPr>
        <w:t>hrsz-ú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ingatlan I. tóval érintett parti szakasza minden év május 15. és szeptember 15. között,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i/>
          <w:iCs/>
          <w:sz w:val="21"/>
          <w:szCs w:val="21"/>
        </w:rPr>
        <w:t>d)</w:t>
      </w:r>
      <w:r w:rsidRPr="009B0B69">
        <w:rPr>
          <w:rFonts w:ascii="Book Antiqua" w:hAnsi="Book Antiqua"/>
          <w:sz w:val="21"/>
          <w:szCs w:val="21"/>
        </w:rPr>
        <w:tab/>
        <w:t xml:space="preserve">Délegyháza 598 </w:t>
      </w:r>
      <w:proofErr w:type="spellStart"/>
      <w:r w:rsidRPr="009B0B69">
        <w:rPr>
          <w:rFonts w:ascii="Book Antiqua" w:hAnsi="Book Antiqua"/>
          <w:sz w:val="21"/>
          <w:szCs w:val="21"/>
        </w:rPr>
        <w:t>hrsz-ú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ingatlannal szemben lévő (a köznyelvben </w:t>
      </w:r>
      <w:proofErr w:type="spellStart"/>
      <w:r w:rsidRPr="009B0B69">
        <w:rPr>
          <w:rFonts w:ascii="Book Antiqua" w:hAnsi="Book Antiqua"/>
          <w:sz w:val="21"/>
          <w:szCs w:val="21"/>
        </w:rPr>
        <w:t>ú.n</w:t>
      </w:r>
      <w:proofErr w:type="spellEnd"/>
      <w:r w:rsidRPr="009B0B69">
        <w:rPr>
          <w:rFonts w:ascii="Book Antiqua" w:hAnsi="Book Antiqua"/>
          <w:sz w:val="21"/>
          <w:szCs w:val="21"/>
        </w:rPr>
        <w:t>. „kis kettes félsziget”) száraz</w:t>
      </w:r>
      <w:r w:rsidRPr="009B0B69">
        <w:rPr>
          <w:rFonts w:ascii="Book Antiqua" w:hAnsi="Book Antiqua"/>
          <w:sz w:val="21"/>
          <w:szCs w:val="21"/>
        </w:rPr>
        <w:t>ulat II. tóval érintett parti szakaszai minden év május 15. és szeptember 15. között,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9B0B69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9B0B69">
        <w:rPr>
          <w:rFonts w:ascii="Book Antiqua" w:hAnsi="Book Antiqua"/>
          <w:i/>
          <w:iCs/>
          <w:sz w:val="21"/>
          <w:szCs w:val="21"/>
        </w:rPr>
        <w:t>)</w:t>
      </w:r>
      <w:r w:rsidRPr="009B0B69">
        <w:rPr>
          <w:rFonts w:ascii="Book Antiqua" w:hAnsi="Book Antiqua"/>
          <w:sz w:val="21"/>
          <w:szCs w:val="21"/>
        </w:rPr>
        <w:tab/>
        <w:t xml:space="preserve">Délegyháza 867 </w:t>
      </w:r>
      <w:proofErr w:type="spellStart"/>
      <w:r w:rsidRPr="009B0B69">
        <w:rPr>
          <w:rFonts w:ascii="Book Antiqua" w:hAnsi="Book Antiqua"/>
          <w:sz w:val="21"/>
          <w:szCs w:val="21"/>
        </w:rPr>
        <w:t>hrsz-ú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ingatlan (természetben: Vadrózsa u.) végén lévő szárazulat III. tóval érintett parti szakasza minden év május 15. és szeptember 15. között.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3.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A tavakon robbanómotoros (belső égésű motorral hajtott) hajó, csónak, </w:t>
      </w:r>
      <w:proofErr w:type="spellStart"/>
      <w:r w:rsidRPr="009B0B69">
        <w:rPr>
          <w:rFonts w:ascii="Book Antiqua" w:hAnsi="Book Antiqua"/>
          <w:sz w:val="21"/>
          <w:szCs w:val="21"/>
        </w:rPr>
        <w:t>jetski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és bármely egyéb nagy kategóriába tartozó </w:t>
      </w:r>
      <w:proofErr w:type="spellStart"/>
      <w:r w:rsidRPr="009B0B69">
        <w:rPr>
          <w:rFonts w:ascii="Book Antiqua" w:hAnsi="Book Antiqua"/>
          <w:sz w:val="21"/>
          <w:szCs w:val="21"/>
        </w:rPr>
        <w:t>vízijármű</w:t>
      </w:r>
      <w:proofErr w:type="spellEnd"/>
      <w:r w:rsidRPr="009B0B69">
        <w:rPr>
          <w:rFonts w:ascii="Book Antiqua" w:hAnsi="Book Antiqua"/>
          <w:sz w:val="21"/>
          <w:szCs w:val="21"/>
        </w:rPr>
        <w:t>, vagy vízi sporteszköz használata tilos.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4.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lastRenderedPageBreak/>
        <w:t>A tavakon az elektromotoros meghajtású vízi-járművek maximális sebessége nem hala</w:t>
      </w:r>
      <w:r w:rsidRPr="009B0B69">
        <w:rPr>
          <w:rFonts w:ascii="Book Antiqua" w:hAnsi="Book Antiqua"/>
          <w:sz w:val="21"/>
          <w:szCs w:val="21"/>
        </w:rPr>
        <w:t xml:space="preserve">dhatja meg az 5 km/h-t, teljesítményük nem lehet nagyobb, mint 55 </w:t>
      </w:r>
      <w:proofErr w:type="spellStart"/>
      <w:r w:rsidRPr="009B0B69">
        <w:rPr>
          <w:rFonts w:ascii="Book Antiqua" w:hAnsi="Book Antiqua"/>
          <w:sz w:val="21"/>
          <w:szCs w:val="21"/>
        </w:rPr>
        <w:t>libra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(kb. 0.7 LE, 12 V).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5.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(1) Kisebb vitorlás, csónak vagy egyéb vízi jármű (pl.: SUP, kajak, kenu, sárkányhajó stb.) használata során tekintettel kell lenni a tavak horgászhatóságának </w:t>
      </w:r>
      <w:r w:rsidRPr="009B0B69">
        <w:rPr>
          <w:rFonts w:ascii="Book Antiqua" w:hAnsi="Book Antiqua"/>
          <w:sz w:val="21"/>
          <w:szCs w:val="21"/>
        </w:rPr>
        <w:t>biztosítására, ezeket az eszközöket lehetőleg hullámkeltés nélkül (vagy minimális hullámkeltéssel), a part élétől számított legalább 30 méterre, vagy ahol ez a távolság nem tartható, úgy ott a tó középvonalán haladva lehet használni. Kerülni kell ezen eszk</w:t>
      </w:r>
      <w:r w:rsidRPr="009B0B69">
        <w:rPr>
          <w:rFonts w:ascii="Book Antiqua" w:hAnsi="Book Antiqua"/>
          <w:sz w:val="21"/>
          <w:szCs w:val="21"/>
        </w:rPr>
        <w:t xml:space="preserve">özök </w:t>
      </w:r>
      <w:proofErr w:type="spellStart"/>
      <w:r w:rsidRPr="009B0B69">
        <w:rPr>
          <w:rFonts w:ascii="Book Antiqua" w:hAnsi="Book Antiqua"/>
          <w:sz w:val="21"/>
          <w:szCs w:val="21"/>
        </w:rPr>
        <w:t>egyidőben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történő tömeges használatát, </w:t>
      </w:r>
      <w:proofErr w:type="spellStart"/>
      <w:r w:rsidRPr="009B0B69">
        <w:rPr>
          <w:rFonts w:ascii="Book Antiqua" w:hAnsi="Book Antiqua"/>
          <w:sz w:val="21"/>
          <w:szCs w:val="21"/>
        </w:rPr>
        <w:t>egyidőben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legfeljebb 3 eszköz használható.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(2) SUP az (1) bekezdésben foglaltak betartása mellett is kizárólag azon a tavon, és kizárólag a tó azon területrészén használható, melyhez az adott tó halászati jogát </w:t>
      </w:r>
      <w:r w:rsidRPr="009B0B69">
        <w:rPr>
          <w:rFonts w:ascii="Book Antiqua" w:hAnsi="Book Antiqua"/>
          <w:sz w:val="21"/>
          <w:szCs w:val="21"/>
        </w:rPr>
        <w:t>haszonbérlő horgászegyesület, illetőleg a tavat bérlő szervezet írásban előzetesen hozzájárult. Amennyiben az adott tó esetén haszonbérlővel és bérlővel is szerződést kötött az Önkormányzat, abban az esetben a haszonbérlő és bérlő azonos tatalmú hozzájárul</w:t>
      </w:r>
      <w:r w:rsidRPr="009B0B69">
        <w:rPr>
          <w:rFonts w:ascii="Book Antiqua" w:hAnsi="Book Antiqua"/>
          <w:sz w:val="21"/>
          <w:szCs w:val="21"/>
        </w:rPr>
        <w:t>ása szükséges. Az írásbeli hozzájárulást a haszonbérlő, illetőleg a bérlő annak aláírását követő 5 napon belül köteles az Önkormányzatnak megküldeni, melyet az Önkormányzat a helyben szokásos módon 5 napon belül közzétesz.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6.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(1) A tavak horgászhatóságáv</w:t>
      </w:r>
      <w:r w:rsidRPr="009B0B69">
        <w:rPr>
          <w:rFonts w:ascii="Book Antiqua" w:hAnsi="Book Antiqua"/>
          <w:sz w:val="21"/>
          <w:szCs w:val="21"/>
        </w:rPr>
        <w:t>al, horgászatával kapcsolatos szabályozás az egyes horgászegyesületek szabályozási rendjében (házirendjében) találhatóak, melyet mindenki köteles betartani.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(2) Az (1) bekezdés szerinti szabályozáson túlmenően is mindenki köteles a horgászhely megválasztás</w:t>
      </w:r>
      <w:r w:rsidRPr="009B0B69">
        <w:rPr>
          <w:rFonts w:ascii="Book Antiqua" w:hAnsi="Book Antiqua"/>
          <w:sz w:val="21"/>
          <w:szCs w:val="21"/>
        </w:rPr>
        <w:t>ánál tiszteletben tartani az ott lakók pihenéshez való jogát, továbbá tekintettel lenni a már horgászatot folytató vendégre, egymástól kellő távolságot tartani.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(3) A tavak használata során be kell tartani az Önkormányzat </w:t>
      </w:r>
      <w:proofErr w:type="spellStart"/>
      <w:r w:rsidRPr="009B0B69">
        <w:rPr>
          <w:rFonts w:ascii="Book Antiqua" w:hAnsi="Book Antiqua"/>
          <w:sz w:val="21"/>
          <w:szCs w:val="21"/>
        </w:rPr>
        <w:t>víziállásokról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szóló rendeletében </w:t>
      </w:r>
      <w:r w:rsidRPr="009B0B69">
        <w:rPr>
          <w:rFonts w:ascii="Book Antiqua" w:hAnsi="Book Antiqua"/>
          <w:sz w:val="21"/>
          <w:szCs w:val="21"/>
        </w:rPr>
        <w:t>meghatározott előírásokat is.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7. §</w:t>
      </w:r>
    </w:p>
    <w:p w:rsidR="004918AF" w:rsidRPr="009B0B69" w:rsidRDefault="0035107B">
      <w:pPr>
        <w:pStyle w:val="Szvegtrzs"/>
        <w:spacing w:after="0" w:line="240" w:lineRule="auto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A befagyott tó jegére lépni tilos és életveszélyes.</w:t>
      </w:r>
    </w:p>
    <w:p w:rsidR="004918AF" w:rsidRPr="009B0B69" w:rsidRDefault="0035107B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3. A tópart használata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8.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(1) Horgászat során a tóparti tűzrakás kizárólag a tűzgyújtási tilalom figyelembe vételével, zárt tűztérben lehetséges.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(2) Tóparti tartózkod</w:t>
      </w:r>
      <w:r w:rsidRPr="009B0B69">
        <w:rPr>
          <w:rFonts w:ascii="Book Antiqua" w:hAnsi="Book Antiqua"/>
          <w:sz w:val="21"/>
          <w:szCs w:val="21"/>
        </w:rPr>
        <w:t>ás során mindenki köteles kerülni a hangoskodást, a kapásjelzők (és egyéb berendezések) hangerejének túlzott használatát.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(3) Gépkocsival a tavak közvetlen partvonalának (a tó szélétől számított minimum 5 méter) megközelítése tilos, ki- és bepakolás idejér</w:t>
      </w:r>
      <w:r w:rsidRPr="009B0B69">
        <w:rPr>
          <w:rFonts w:ascii="Book Antiqua" w:hAnsi="Book Antiqua"/>
          <w:sz w:val="21"/>
          <w:szCs w:val="21"/>
        </w:rPr>
        <w:t>e sem lehet a közvetlen tóparton várakozni, parkolni. Horgászat, illetve a partszakasz látogatása alkalmával a gépkocsikat kötelező az út mentén lévő parkolásra alkalmas területen tartani. Az időjárási viszonyok változása esetén sem lehet ettől eltérni. Re</w:t>
      </w:r>
      <w:r w:rsidRPr="009B0B69">
        <w:rPr>
          <w:rFonts w:ascii="Book Antiqua" w:hAnsi="Book Antiqua"/>
          <w:sz w:val="21"/>
          <w:szCs w:val="21"/>
        </w:rPr>
        <w:t xml:space="preserve">ndezvények </w:t>
      </w:r>
      <w:proofErr w:type="gramStart"/>
      <w:r w:rsidRPr="009B0B69">
        <w:rPr>
          <w:rFonts w:ascii="Book Antiqua" w:hAnsi="Book Antiqua"/>
          <w:sz w:val="21"/>
          <w:szCs w:val="21"/>
        </w:rPr>
        <w:t>alkalmával</w:t>
      </w:r>
      <w:proofErr w:type="gramEnd"/>
      <w:r w:rsidRPr="009B0B69">
        <w:rPr>
          <w:rFonts w:ascii="Book Antiqua" w:hAnsi="Book Antiqua"/>
          <w:sz w:val="21"/>
          <w:szCs w:val="21"/>
        </w:rPr>
        <w:t xml:space="preserve"> gépkocsival behajtani csak az Önkormányzat által kiadott behajtási engedéllyel lehet.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lastRenderedPageBreak/>
        <w:t>(4) A tavak mentén a kempingezés, a sátorozás, lakókocsival, lakóautóval táborozás – huzamosabb, több napon át történő horgászat, illetve ott tartóz</w:t>
      </w:r>
      <w:r w:rsidRPr="009B0B69">
        <w:rPr>
          <w:rFonts w:ascii="Book Antiqua" w:hAnsi="Book Antiqua"/>
          <w:sz w:val="21"/>
          <w:szCs w:val="21"/>
        </w:rPr>
        <w:t>kodás esetén is – tilos. Az időjárási körülmények kedvezőtlen változása alkalmával mobil esővédő eszköz (</w:t>
      </w:r>
      <w:proofErr w:type="spellStart"/>
      <w:r w:rsidRPr="009B0B69">
        <w:rPr>
          <w:rFonts w:ascii="Book Antiqua" w:hAnsi="Book Antiqua"/>
          <w:sz w:val="21"/>
          <w:szCs w:val="21"/>
        </w:rPr>
        <w:t>félsátor</w:t>
      </w:r>
      <w:proofErr w:type="spellEnd"/>
      <w:r w:rsidRPr="009B0B69">
        <w:rPr>
          <w:rFonts w:ascii="Book Antiqua" w:hAnsi="Book Antiqua"/>
          <w:sz w:val="21"/>
          <w:szCs w:val="21"/>
        </w:rPr>
        <w:t>, ponyva) használata engedélyezett, azonban indokolatlan használat esetén annak elbontása kötelező.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(5) Tilos a part menti élővilág károsítása,</w:t>
      </w:r>
      <w:r w:rsidRPr="009B0B69">
        <w:rPr>
          <w:rFonts w:ascii="Book Antiqua" w:hAnsi="Book Antiqua"/>
          <w:sz w:val="21"/>
          <w:szCs w:val="21"/>
        </w:rPr>
        <w:t xml:space="preserve"> a növényzet, fák kivágása, kiváltképp a part természeti állékonyságának megbontása, módosítása.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(6) A tópart használata során be kell tartani az Önkormányzat </w:t>
      </w:r>
      <w:proofErr w:type="spellStart"/>
      <w:r w:rsidRPr="009B0B69">
        <w:rPr>
          <w:rFonts w:ascii="Book Antiqua" w:hAnsi="Book Antiqua"/>
          <w:sz w:val="21"/>
          <w:szCs w:val="21"/>
        </w:rPr>
        <w:t>víziállásokról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szóló rendeletében meghatározott előírásokat is.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9.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A tó környékén a köztisztasá</w:t>
      </w:r>
      <w:r w:rsidRPr="009B0B69">
        <w:rPr>
          <w:rFonts w:ascii="Book Antiqua" w:hAnsi="Book Antiqua"/>
          <w:sz w:val="21"/>
          <w:szCs w:val="21"/>
        </w:rPr>
        <w:t xml:space="preserve">gi szabályok betartása szigorúan kötelező, a tóba hulladékot, vagy bármilyen tárgyat, anyagot bedobni tilos. Hulladékot (pl. cigarettacsikket, </w:t>
      </w:r>
      <w:proofErr w:type="spellStart"/>
      <w:r w:rsidRPr="009B0B69">
        <w:rPr>
          <w:rFonts w:ascii="Book Antiqua" w:hAnsi="Book Antiqua"/>
          <w:sz w:val="21"/>
          <w:szCs w:val="21"/>
        </w:rPr>
        <w:t>szotyi</w:t>
      </w:r>
      <w:proofErr w:type="spellEnd"/>
      <w:r w:rsidRPr="009B0B69">
        <w:rPr>
          <w:rFonts w:ascii="Book Antiqua" w:hAnsi="Book Antiqua"/>
          <w:sz w:val="21"/>
          <w:szCs w:val="21"/>
        </w:rPr>
        <w:t>/tökmag héjat, maradék etetőanyagot) mindenki köteles az egyes partszakaszok mentén kihelyezett hulladéktár</w:t>
      </w:r>
      <w:r w:rsidRPr="009B0B69">
        <w:rPr>
          <w:rFonts w:ascii="Book Antiqua" w:hAnsi="Book Antiqua"/>
          <w:sz w:val="21"/>
          <w:szCs w:val="21"/>
        </w:rPr>
        <w:t xml:space="preserve">oló </w:t>
      </w:r>
      <w:proofErr w:type="spellStart"/>
      <w:r w:rsidRPr="009B0B69">
        <w:rPr>
          <w:rFonts w:ascii="Book Antiqua" w:hAnsi="Book Antiqua"/>
          <w:sz w:val="21"/>
          <w:szCs w:val="21"/>
        </w:rPr>
        <w:t>edényzetekbe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dobni. Amennyiben a partszakasz/horgászhely közvetlen környezetében nem található hulladéktároló </w:t>
      </w:r>
      <w:proofErr w:type="spellStart"/>
      <w:r w:rsidRPr="009B0B69">
        <w:rPr>
          <w:rFonts w:ascii="Book Antiqua" w:hAnsi="Book Antiqua"/>
          <w:sz w:val="21"/>
          <w:szCs w:val="21"/>
        </w:rPr>
        <w:t>edényzet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, úgy a keletkezett hulladékokat kötelesek legalább a legközelebbi </w:t>
      </w:r>
      <w:proofErr w:type="spellStart"/>
      <w:r w:rsidRPr="009B0B69">
        <w:rPr>
          <w:rFonts w:ascii="Book Antiqua" w:hAnsi="Book Antiqua"/>
          <w:sz w:val="21"/>
          <w:szCs w:val="21"/>
        </w:rPr>
        <w:t>edényzetig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magukkal vinni, és ott elhelyezni.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10.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A tópartokon ír</w:t>
      </w:r>
      <w:r w:rsidRPr="009B0B69">
        <w:rPr>
          <w:rFonts w:ascii="Book Antiqua" w:hAnsi="Book Antiqua"/>
          <w:sz w:val="21"/>
          <w:szCs w:val="21"/>
        </w:rPr>
        <w:t xml:space="preserve">ásos reklámhordozót, plakátot, szórólapot, hirdetést elhelyezni tilos. Ez alól az Önkormányzat által kihelyezett hirdetőtáblák kivételt képeznek, melyeken a közterület használatáról szóló rendeletben meghatározott szabályok szerint helyezhető el közérdekű </w:t>
      </w:r>
      <w:r w:rsidRPr="009B0B69">
        <w:rPr>
          <w:rFonts w:ascii="Book Antiqua" w:hAnsi="Book Antiqua"/>
          <w:sz w:val="21"/>
          <w:szCs w:val="21"/>
        </w:rPr>
        <w:t>közlemény.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11.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A tópartokon és környékén rendezvényt az Önkormányzattól különböző más szervezet csak a Polgármester engedélyével rendezhet.</w:t>
      </w:r>
    </w:p>
    <w:p w:rsidR="004918AF" w:rsidRPr="009B0B69" w:rsidRDefault="0035107B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4. Szankciók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12. §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(1) A rendelet 2–11. §</w:t>
      </w:r>
      <w:proofErr w:type="spellStart"/>
      <w:r w:rsidRPr="009B0B69">
        <w:rPr>
          <w:rFonts w:ascii="Book Antiqua" w:hAnsi="Book Antiqua"/>
          <w:sz w:val="21"/>
          <w:szCs w:val="21"/>
        </w:rPr>
        <w:t>-ában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meghatározott rendelkezések megsértése a közösségi együttélés </w:t>
      </w:r>
      <w:r w:rsidRPr="009B0B69">
        <w:rPr>
          <w:rFonts w:ascii="Book Antiqua" w:hAnsi="Book Antiqua"/>
          <w:sz w:val="21"/>
          <w:szCs w:val="21"/>
        </w:rPr>
        <w:t>szabályai megszegésének minősül, amely miatt a hatósági eljárás lefolytatására és közigazgatási szankció kiszabására – átruházott hatáskörben – a jegyző jogosult.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(2) A közösségi együttélés alapvető szabályainak megsértésével kapcsolatos hatósági eljárás s</w:t>
      </w:r>
      <w:r w:rsidRPr="009B0B69">
        <w:rPr>
          <w:rFonts w:ascii="Book Antiqua" w:hAnsi="Book Antiqua"/>
          <w:sz w:val="21"/>
          <w:szCs w:val="21"/>
        </w:rPr>
        <w:t>orán az általános közigazgatási rendtartásról szóló 2016. évi CL. törvény rendelkezéseit, valamint a közigazgatási szabályszegések szankcióiról szóló 2017. évi CXXV. törvény rendelkezéseit kell alkalmazni.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(3) E rendelet alkalmazásában a közösségi együttél</w:t>
      </w:r>
      <w:r w:rsidRPr="009B0B69">
        <w:rPr>
          <w:rFonts w:ascii="Book Antiqua" w:hAnsi="Book Antiqua"/>
          <w:sz w:val="21"/>
          <w:szCs w:val="21"/>
        </w:rPr>
        <w:t>és alapvető szabályait megsértő magatartás az a cselekmény vagy mulasztás, amelyet jogszabály nem minősít szabálysértésnek vagy bűncselekménynek.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(4) Az (1) bekezdés szerinti hatósági eljárás során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9B0B69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9B0B69">
        <w:rPr>
          <w:rFonts w:ascii="Book Antiqua" w:hAnsi="Book Antiqua"/>
          <w:i/>
          <w:iCs/>
          <w:sz w:val="21"/>
          <w:szCs w:val="21"/>
        </w:rPr>
        <w:t>)</w:t>
      </w:r>
      <w:r w:rsidRPr="009B0B69">
        <w:rPr>
          <w:rFonts w:ascii="Book Antiqua" w:hAnsi="Book Antiqua"/>
          <w:sz w:val="21"/>
          <w:szCs w:val="21"/>
        </w:rPr>
        <w:tab/>
        <w:t>figyelmeztetés alkalmazható, illetve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i/>
          <w:iCs/>
          <w:sz w:val="21"/>
          <w:szCs w:val="21"/>
        </w:rPr>
        <w:t>b)</w:t>
      </w:r>
      <w:r w:rsidRPr="009B0B69">
        <w:rPr>
          <w:rFonts w:ascii="Book Antiqua" w:hAnsi="Book Antiqua"/>
          <w:sz w:val="21"/>
          <w:szCs w:val="21"/>
        </w:rPr>
        <w:tab/>
        <w:t>5 000 Ft-tól te</w:t>
      </w:r>
      <w:r w:rsidRPr="009B0B69">
        <w:rPr>
          <w:rFonts w:ascii="Book Antiqua" w:hAnsi="Book Antiqua"/>
          <w:sz w:val="21"/>
          <w:szCs w:val="21"/>
        </w:rPr>
        <w:t>rmészetes személyek esetén 50 000 Ft-ig, jogi személyek és jogi személyiséggel nem rendelkező szervezetek esetén 500 000 terjedő Ft-ig terjedő helyszíni bírság vagy</w:t>
      </w:r>
    </w:p>
    <w:p w:rsidR="004918AF" w:rsidRPr="009B0B69" w:rsidRDefault="0035107B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i/>
          <w:iCs/>
          <w:sz w:val="21"/>
          <w:szCs w:val="21"/>
        </w:rPr>
        <w:lastRenderedPageBreak/>
        <w:t>c)</w:t>
      </w:r>
      <w:r w:rsidRPr="009B0B69">
        <w:rPr>
          <w:rFonts w:ascii="Book Antiqua" w:hAnsi="Book Antiqua"/>
          <w:sz w:val="21"/>
          <w:szCs w:val="21"/>
        </w:rPr>
        <w:tab/>
        <w:t>5 000 Ft-tól természetes személyek esetén 200 000 Ft-ig, jogi személyek és jogi személyi</w:t>
      </w:r>
      <w:r w:rsidRPr="009B0B69">
        <w:rPr>
          <w:rFonts w:ascii="Book Antiqua" w:hAnsi="Book Antiqua"/>
          <w:sz w:val="21"/>
          <w:szCs w:val="21"/>
        </w:rPr>
        <w:t xml:space="preserve">séggel nem rendelkező szervezetek esetén 2 000 </w:t>
      </w:r>
      <w:proofErr w:type="spellStart"/>
      <w:r w:rsidRPr="009B0B69">
        <w:rPr>
          <w:rFonts w:ascii="Book Antiqua" w:hAnsi="Book Antiqua"/>
          <w:sz w:val="21"/>
          <w:szCs w:val="21"/>
        </w:rPr>
        <w:t>000</w:t>
      </w:r>
      <w:proofErr w:type="spellEnd"/>
      <w:r w:rsidRPr="009B0B69">
        <w:rPr>
          <w:rFonts w:ascii="Book Antiqua" w:hAnsi="Book Antiqua"/>
          <w:sz w:val="21"/>
          <w:szCs w:val="21"/>
        </w:rPr>
        <w:t xml:space="preserve"> Ft-ig terjedő közigazgatási bírság szabható ki.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(5) Az (1) bekezdés szerinti közigazgatási hatósági eljárás bejelentés vagy a hatóság részéről eljáró személy észlelése alapján hivatalból indul.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(6) A helys</w:t>
      </w:r>
      <w:r w:rsidRPr="009B0B69">
        <w:rPr>
          <w:rFonts w:ascii="Book Antiqua" w:hAnsi="Book Antiqua"/>
          <w:sz w:val="21"/>
          <w:szCs w:val="21"/>
        </w:rPr>
        <w:t>zíni bírság kiszabására a közterület-felügyelő jogosult.</w:t>
      </w:r>
    </w:p>
    <w:p w:rsidR="004918AF" w:rsidRPr="009B0B69" w:rsidRDefault="0035107B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(7) A kiszabott közigazgatási bírságot átutalási postautalványon vagy banki utalással az Önkormányzat 11742180-15441654-03610000 számú pénzforgalmi számlájára kell befizetni a határozat véglegessé vá</w:t>
      </w:r>
      <w:r w:rsidRPr="009B0B69">
        <w:rPr>
          <w:rFonts w:ascii="Book Antiqua" w:hAnsi="Book Antiqua"/>
          <w:sz w:val="21"/>
          <w:szCs w:val="21"/>
        </w:rPr>
        <w:t>lásától számított 8 napon belül.</w:t>
      </w:r>
    </w:p>
    <w:p w:rsidR="004918AF" w:rsidRPr="009B0B69" w:rsidRDefault="0035107B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5. Záró rendelkezések</w:t>
      </w:r>
    </w:p>
    <w:p w:rsidR="004918AF" w:rsidRPr="009B0B69" w:rsidRDefault="0035107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>13. §</w:t>
      </w:r>
    </w:p>
    <w:p w:rsidR="00D02D2A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Ez a rendelet a kihirdetését követő harmadik napon lép hatályba.</w:t>
      </w:r>
    </w:p>
    <w:p w:rsidR="00D02D2A" w:rsidRDefault="00D02D2A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Délegyháza, </w:t>
      </w:r>
      <w:r>
        <w:rPr>
          <w:rFonts w:ascii="Book Antiqua" w:hAnsi="Book Antiqua"/>
          <w:sz w:val="21"/>
          <w:szCs w:val="21"/>
        </w:rPr>
        <w:t xml:space="preserve">2022. </w:t>
      </w:r>
      <w:r>
        <w:rPr>
          <w:rFonts w:ascii="Book Antiqua" w:hAnsi="Book Antiqua"/>
          <w:sz w:val="21"/>
          <w:szCs w:val="21"/>
        </w:rPr>
        <w:t>június 29.</w:t>
      </w: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</w:p>
    <w:p w:rsidR="0035107B" w:rsidRPr="007F0145" w:rsidRDefault="0035107B" w:rsidP="0035107B">
      <w:pPr>
        <w:jc w:val="both"/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              </w:t>
      </w:r>
    </w:p>
    <w:p w:rsidR="0035107B" w:rsidRPr="007F0145" w:rsidRDefault="0035107B" w:rsidP="0035107B">
      <w:pPr>
        <w:jc w:val="both"/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                            </w:t>
      </w:r>
      <w:proofErr w:type="gramStart"/>
      <w:r w:rsidRPr="007F0145">
        <w:rPr>
          <w:rFonts w:ascii="Book Antiqua" w:hAnsi="Book Antiqua"/>
          <w:sz w:val="21"/>
          <w:szCs w:val="21"/>
        </w:rPr>
        <w:t>dr.</w:t>
      </w:r>
      <w:proofErr w:type="gramEnd"/>
      <w:r w:rsidRPr="007F0145">
        <w:rPr>
          <w:rFonts w:ascii="Book Antiqua" w:hAnsi="Book Antiqua"/>
          <w:sz w:val="21"/>
          <w:szCs w:val="21"/>
        </w:rPr>
        <w:t xml:space="preserve"> </w:t>
      </w:r>
      <w:proofErr w:type="spellStart"/>
      <w:r w:rsidRPr="007F0145">
        <w:rPr>
          <w:rFonts w:ascii="Book Antiqua" w:hAnsi="Book Antiqua"/>
          <w:sz w:val="21"/>
          <w:szCs w:val="21"/>
        </w:rPr>
        <w:t>Riebl</w:t>
      </w:r>
      <w:proofErr w:type="spellEnd"/>
      <w:r w:rsidRPr="007F0145">
        <w:rPr>
          <w:rFonts w:ascii="Book Antiqua" w:hAnsi="Book Antiqua"/>
          <w:sz w:val="21"/>
          <w:szCs w:val="21"/>
        </w:rPr>
        <w:t xml:space="preserve"> Antal                                                      dr. Molnár Zsuzsanna</w:t>
      </w:r>
    </w:p>
    <w:p w:rsidR="0035107B" w:rsidRPr="007F0145" w:rsidRDefault="0035107B" w:rsidP="0035107B">
      <w:pPr>
        <w:jc w:val="both"/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                             </w:t>
      </w:r>
      <w:proofErr w:type="gramStart"/>
      <w:r w:rsidRPr="007F0145">
        <w:rPr>
          <w:rFonts w:ascii="Book Antiqua" w:hAnsi="Book Antiqua"/>
          <w:sz w:val="21"/>
          <w:szCs w:val="21"/>
        </w:rPr>
        <w:t>polgármester</w:t>
      </w:r>
      <w:proofErr w:type="gramEnd"/>
      <w:r w:rsidRPr="007F0145">
        <w:rPr>
          <w:rFonts w:ascii="Book Antiqua" w:hAnsi="Book Antiqua"/>
          <w:sz w:val="21"/>
          <w:szCs w:val="21"/>
        </w:rPr>
        <w:t xml:space="preserve">                                                                     jegyző</w:t>
      </w: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Kihirdetve: </w:t>
      </w: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 xml:space="preserve">Délegyháza, </w:t>
      </w:r>
      <w:proofErr w:type="gramStart"/>
      <w:r>
        <w:rPr>
          <w:rFonts w:ascii="Book Antiqua" w:hAnsi="Book Antiqua"/>
          <w:sz w:val="21"/>
          <w:szCs w:val="21"/>
        </w:rPr>
        <w:t>2022. …</w:t>
      </w:r>
      <w:proofErr w:type="gramEnd"/>
      <w:r>
        <w:rPr>
          <w:rFonts w:ascii="Book Antiqua" w:hAnsi="Book Antiqua"/>
          <w:sz w:val="21"/>
          <w:szCs w:val="21"/>
        </w:rPr>
        <w:t>……………….</w:t>
      </w: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  <w:t xml:space="preserve">        </w:t>
      </w:r>
      <w:proofErr w:type="gramStart"/>
      <w:r w:rsidRPr="007F0145">
        <w:rPr>
          <w:rFonts w:ascii="Book Antiqua" w:hAnsi="Book Antiqua"/>
          <w:sz w:val="21"/>
          <w:szCs w:val="21"/>
        </w:rPr>
        <w:t>dr.</w:t>
      </w:r>
      <w:proofErr w:type="gramEnd"/>
      <w:r w:rsidRPr="007F0145">
        <w:rPr>
          <w:rFonts w:ascii="Book Antiqua" w:hAnsi="Book Antiqua"/>
          <w:sz w:val="21"/>
          <w:szCs w:val="21"/>
        </w:rPr>
        <w:t xml:space="preserve"> Molnár Zsuzsanna</w:t>
      </w:r>
    </w:p>
    <w:p w:rsidR="0035107B" w:rsidRPr="007F0145" w:rsidRDefault="0035107B" w:rsidP="0035107B">
      <w:pPr>
        <w:rPr>
          <w:rFonts w:ascii="Book Antiqua" w:hAnsi="Book Antiqua"/>
          <w:sz w:val="21"/>
          <w:szCs w:val="21"/>
        </w:rPr>
      </w:pP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bookmarkStart w:id="0" w:name="_GoBack"/>
      <w:bookmarkEnd w:id="0"/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</w:r>
      <w:r w:rsidRPr="007F0145">
        <w:rPr>
          <w:rFonts w:ascii="Book Antiqua" w:hAnsi="Book Antiqua"/>
          <w:sz w:val="21"/>
          <w:szCs w:val="21"/>
        </w:rPr>
        <w:tab/>
        <w:t xml:space="preserve">         </w:t>
      </w:r>
      <w:proofErr w:type="gramStart"/>
      <w:r w:rsidRPr="007F0145">
        <w:rPr>
          <w:rFonts w:ascii="Book Antiqua" w:hAnsi="Book Antiqua"/>
          <w:sz w:val="21"/>
          <w:szCs w:val="21"/>
        </w:rPr>
        <w:t>jegyző</w:t>
      </w:r>
      <w:proofErr w:type="gramEnd"/>
    </w:p>
    <w:p w:rsidR="0035107B" w:rsidRPr="00C208CC" w:rsidRDefault="0035107B" w:rsidP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C208CC">
        <w:rPr>
          <w:rFonts w:ascii="Book Antiqua" w:hAnsi="Book Antiqua"/>
          <w:sz w:val="21"/>
          <w:szCs w:val="21"/>
        </w:rPr>
        <w:br w:type="page"/>
      </w:r>
    </w:p>
    <w:p w:rsidR="004918AF" w:rsidRPr="009B0B69" w:rsidRDefault="004918A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4918AF" w:rsidRPr="009B0B69" w:rsidRDefault="0035107B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9B0B69">
        <w:rPr>
          <w:rFonts w:ascii="Book Antiqua" w:hAnsi="Book Antiqua"/>
          <w:i/>
          <w:iCs/>
          <w:sz w:val="21"/>
          <w:szCs w:val="21"/>
          <w:u w:val="single"/>
        </w:rPr>
        <w:t>1. melléklet</w:t>
      </w:r>
    </w:p>
    <w:p w:rsidR="004918AF" w:rsidRPr="009B0B69" w:rsidRDefault="0035107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9B0B69">
        <w:rPr>
          <w:rFonts w:ascii="Book Antiqua" w:hAnsi="Book Antiqua"/>
          <w:b/>
          <w:bCs/>
          <w:sz w:val="21"/>
          <w:szCs w:val="21"/>
        </w:rPr>
        <w:t xml:space="preserve">Délegyháza I-VI. </w:t>
      </w:r>
      <w:proofErr w:type="gramStart"/>
      <w:r w:rsidRPr="009B0B69">
        <w:rPr>
          <w:rFonts w:ascii="Book Antiqua" w:hAnsi="Book Antiqua"/>
          <w:b/>
          <w:bCs/>
          <w:sz w:val="21"/>
          <w:szCs w:val="21"/>
        </w:rPr>
        <w:t>tavak</w:t>
      </w:r>
      <w:proofErr w:type="gramEnd"/>
      <w:r w:rsidRPr="009B0B69">
        <w:rPr>
          <w:rFonts w:ascii="Book Antiqua" w:hAnsi="Book Antiqua"/>
          <w:b/>
          <w:bCs/>
          <w:sz w:val="21"/>
          <w:szCs w:val="21"/>
        </w:rPr>
        <w:t xml:space="preserve"> lehatárolása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3"/>
        <w:gridCol w:w="1925"/>
        <w:gridCol w:w="1924"/>
        <w:gridCol w:w="1925"/>
        <w:gridCol w:w="1925"/>
      </w:tblGrid>
      <w:tr w:rsidR="004918AF" w:rsidRPr="009B0B69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9B0B69">
              <w:rPr>
                <w:rFonts w:ascii="Book Antiqua" w:hAnsi="Book Antiqua"/>
                <w:b/>
                <w:bCs/>
                <w:sz w:val="21"/>
                <w:szCs w:val="21"/>
              </w:rPr>
              <w:t>Vízterület neve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9B0B69">
              <w:rPr>
                <w:rFonts w:ascii="Book Antiqua" w:hAnsi="Book Antiqua"/>
                <w:b/>
                <w:bCs/>
                <w:sz w:val="21"/>
                <w:szCs w:val="21"/>
              </w:rPr>
              <w:t>Helyrajzi szám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9B0B69">
              <w:rPr>
                <w:rFonts w:ascii="Book Antiqua" w:hAnsi="Book Antiqua"/>
                <w:b/>
                <w:bCs/>
                <w:sz w:val="21"/>
                <w:szCs w:val="21"/>
              </w:rPr>
              <w:t>Terület (ha)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r w:rsidRPr="009B0B69">
              <w:rPr>
                <w:rFonts w:ascii="Book Antiqua" w:hAnsi="Book Antiqua"/>
                <w:b/>
                <w:bCs/>
                <w:sz w:val="21"/>
                <w:szCs w:val="21"/>
              </w:rPr>
              <w:t>Földhivatali megjelölés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b/>
                <w:bCs/>
                <w:sz w:val="21"/>
                <w:szCs w:val="21"/>
              </w:rPr>
            </w:pPr>
            <w:proofErr w:type="spellStart"/>
            <w:r w:rsidRPr="009B0B69">
              <w:rPr>
                <w:rFonts w:ascii="Book Antiqua" w:hAnsi="Book Antiqua"/>
                <w:b/>
                <w:bCs/>
                <w:sz w:val="21"/>
                <w:szCs w:val="21"/>
              </w:rPr>
              <w:t>Víztérkód</w:t>
            </w:r>
            <w:proofErr w:type="spellEnd"/>
          </w:p>
        </w:tc>
      </w:tr>
      <w:tr w:rsidR="004918AF" w:rsidRPr="009B0B69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Délegyháza I. tó</w:t>
            </w:r>
            <w:r w:rsidRPr="009B0B69">
              <w:rPr>
                <w:rFonts w:ascii="Book Antiqua" w:hAnsi="Book Antiqua"/>
                <w:sz w:val="21"/>
                <w:szCs w:val="21"/>
              </w:rPr>
              <w:tab/>
              <w:t xml:space="preserve"> </w:t>
            </w:r>
            <w:r w:rsidRPr="009B0B69">
              <w:rPr>
                <w:rFonts w:ascii="Book Antiqua" w:hAnsi="Book Antiqua"/>
                <w:sz w:val="21"/>
                <w:szCs w:val="21"/>
              </w:rPr>
              <w:br/>
              <w:t>(Gizella tó)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 xml:space="preserve">286/2 </w:t>
            </w:r>
            <w:proofErr w:type="spellStart"/>
            <w:r w:rsidRPr="009B0B69">
              <w:rPr>
                <w:rFonts w:ascii="Book Antiqua" w:hAnsi="Book Antiqua"/>
                <w:sz w:val="21"/>
                <w:szCs w:val="21"/>
              </w:rPr>
              <w:t>hrsz</w:t>
            </w:r>
            <w:proofErr w:type="spell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4,9603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Kivett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13-069-1-5</w:t>
            </w:r>
          </w:p>
        </w:tc>
      </w:tr>
      <w:tr w:rsidR="004918AF" w:rsidRPr="009B0B69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Délegyháza II.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 xml:space="preserve">395/1 </w:t>
            </w:r>
            <w:proofErr w:type="spellStart"/>
            <w:r w:rsidRPr="009B0B69">
              <w:rPr>
                <w:rFonts w:ascii="Book Antiqua" w:hAnsi="Book Antiqua"/>
                <w:sz w:val="21"/>
                <w:szCs w:val="21"/>
              </w:rPr>
              <w:t>hrsz</w:t>
            </w:r>
            <w:proofErr w:type="spell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37,0069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Kivett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13-070-1-5</w:t>
            </w:r>
          </w:p>
        </w:tc>
      </w:tr>
      <w:tr w:rsidR="004918AF" w:rsidRPr="009B0B69"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Délegyháza III. tó</w:t>
            </w:r>
            <w:r w:rsidRPr="009B0B69">
              <w:rPr>
                <w:rFonts w:ascii="Book Antiqua" w:hAnsi="Book Antiqua"/>
                <w:sz w:val="21"/>
                <w:szCs w:val="21"/>
              </w:rPr>
              <w:tab/>
              <w:t xml:space="preserve"> </w:t>
            </w:r>
            <w:r w:rsidRPr="009B0B69">
              <w:rPr>
                <w:rFonts w:ascii="Book Antiqua" w:hAnsi="Book Antiqua"/>
                <w:sz w:val="21"/>
                <w:szCs w:val="21"/>
              </w:rPr>
              <w:br/>
              <w:t>(és a kis – III. tó)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 xml:space="preserve">945/6 </w:t>
            </w:r>
            <w:proofErr w:type="spellStart"/>
            <w:r w:rsidRPr="009B0B69">
              <w:rPr>
                <w:rFonts w:ascii="Book Antiqua" w:hAnsi="Book Antiqua"/>
                <w:sz w:val="21"/>
                <w:szCs w:val="21"/>
              </w:rPr>
              <w:t>hrsz</w:t>
            </w:r>
            <w:proofErr w:type="spell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24,9367</w:t>
            </w:r>
          </w:p>
        </w:tc>
        <w:tc>
          <w:tcPr>
            <w:tcW w:w="19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Kivett tó</w:t>
            </w:r>
          </w:p>
        </w:tc>
        <w:tc>
          <w:tcPr>
            <w:tcW w:w="19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13-071-1-5</w:t>
            </w:r>
          </w:p>
        </w:tc>
      </w:tr>
      <w:tr w:rsidR="004918AF" w:rsidRPr="009B0B69">
        <w:tc>
          <w:tcPr>
            <w:tcW w:w="19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4918AF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 xml:space="preserve">857/3 </w:t>
            </w:r>
            <w:proofErr w:type="spellStart"/>
            <w:r w:rsidRPr="009B0B69">
              <w:rPr>
                <w:rFonts w:ascii="Book Antiqua" w:hAnsi="Book Antiqua"/>
                <w:sz w:val="21"/>
                <w:szCs w:val="21"/>
              </w:rPr>
              <w:t>hrsz</w:t>
            </w:r>
            <w:proofErr w:type="spell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11,1892</w:t>
            </w:r>
          </w:p>
        </w:tc>
        <w:tc>
          <w:tcPr>
            <w:tcW w:w="19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4918AF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4918AF">
            <w:pPr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4918AF" w:rsidRPr="009B0B69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Délegyháza IV.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 xml:space="preserve">1317/59 </w:t>
            </w:r>
            <w:proofErr w:type="spellStart"/>
            <w:r w:rsidRPr="009B0B69">
              <w:rPr>
                <w:rFonts w:ascii="Book Antiqua" w:hAnsi="Book Antiqua"/>
                <w:sz w:val="21"/>
                <w:szCs w:val="21"/>
              </w:rPr>
              <w:t>hrsz</w:t>
            </w:r>
            <w:proofErr w:type="spell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58,4877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Kivett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13-072-1-5</w:t>
            </w:r>
          </w:p>
        </w:tc>
      </w:tr>
      <w:tr w:rsidR="004918AF" w:rsidRPr="009B0B69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Délegyháza V.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 xml:space="preserve">1317/47 </w:t>
            </w:r>
            <w:proofErr w:type="spellStart"/>
            <w:r w:rsidRPr="009B0B69">
              <w:rPr>
                <w:rFonts w:ascii="Book Antiqua" w:hAnsi="Book Antiqua"/>
                <w:sz w:val="21"/>
                <w:szCs w:val="21"/>
              </w:rPr>
              <w:t>hrsz</w:t>
            </w:r>
            <w:proofErr w:type="spell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30,7077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Kivett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13-073-1-5</w:t>
            </w:r>
          </w:p>
        </w:tc>
      </w:tr>
      <w:tr w:rsidR="004918AF" w:rsidRPr="009B0B69"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Délegyháza VI.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 xml:space="preserve">1317/66 </w:t>
            </w:r>
            <w:proofErr w:type="spellStart"/>
            <w:r w:rsidRPr="009B0B69">
              <w:rPr>
                <w:rFonts w:ascii="Book Antiqua" w:hAnsi="Book Antiqua"/>
                <w:sz w:val="21"/>
                <w:szCs w:val="21"/>
              </w:rPr>
              <w:t>hrsz</w:t>
            </w:r>
            <w:proofErr w:type="spellEnd"/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16,5176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Kivett tó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8AF" w:rsidRPr="009B0B69" w:rsidRDefault="0035107B">
            <w:pPr>
              <w:pStyle w:val="Szvegtrzs"/>
              <w:spacing w:after="0" w:line="240" w:lineRule="auto"/>
              <w:jc w:val="both"/>
              <w:rPr>
                <w:rFonts w:ascii="Book Antiqua" w:hAnsi="Book Antiqua"/>
                <w:sz w:val="21"/>
                <w:szCs w:val="21"/>
              </w:rPr>
            </w:pPr>
            <w:r w:rsidRPr="009B0B69">
              <w:rPr>
                <w:rFonts w:ascii="Book Antiqua" w:hAnsi="Book Antiqua"/>
                <w:sz w:val="21"/>
                <w:szCs w:val="21"/>
              </w:rPr>
              <w:t>13-074-1-5</w:t>
            </w:r>
          </w:p>
        </w:tc>
      </w:tr>
    </w:tbl>
    <w:p w:rsidR="004918AF" w:rsidRPr="009B0B69" w:rsidRDefault="004918AF">
      <w:pPr>
        <w:rPr>
          <w:rFonts w:ascii="Book Antiqua" w:hAnsi="Book Antiqua"/>
          <w:sz w:val="21"/>
          <w:szCs w:val="21"/>
        </w:rPr>
        <w:sectPr w:rsidR="004918AF" w:rsidRPr="009B0B6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4918AF" w:rsidRPr="009B0B69" w:rsidRDefault="004918AF">
      <w:pPr>
        <w:pStyle w:val="Szvegtrzs"/>
        <w:spacing w:after="0"/>
        <w:jc w:val="center"/>
        <w:rPr>
          <w:rFonts w:ascii="Book Antiqua" w:hAnsi="Book Antiqua"/>
          <w:sz w:val="21"/>
          <w:szCs w:val="21"/>
        </w:rPr>
      </w:pPr>
    </w:p>
    <w:p w:rsidR="004918AF" w:rsidRPr="009B0B69" w:rsidRDefault="0035107B">
      <w:pPr>
        <w:pStyle w:val="Szvegtrzs"/>
        <w:spacing w:after="159" w:line="240" w:lineRule="auto"/>
        <w:ind w:left="159" w:right="159"/>
        <w:jc w:val="center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Végső előterjesztői indokolás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 xml:space="preserve">Délegyháza Község Önkormányzat Képviselő – testülete a tulajdonában álló délegyházi tavak használatával kapcsolatban először 2018. évben, majd ennek mintegy felülvizsgálataként 2021. évben hozott </w:t>
      </w:r>
      <w:r w:rsidRPr="009B0B69">
        <w:rPr>
          <w:rFonts w:ascii="Book Antiqua" w:hAnsi="Book Antiqua"/>
          <w:sz w:val="21"/>
          <w:szCs w:val="21"/>
        </w:rPr>
        <w:t>tulajdonosi döntést.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 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A szabályozás igénye mind az ide látogató horgászok, mind a fürdőzők, mind pedig a tóparti ingatlantulajdonosok részéről felmerült, igaz más-más formában, így önkormányzatunk elsődleges célja volt, hogy mindenki részére igyekezzen bi</w:t>
      </w:r>
      <w:r w:rsidRPr="009B0B69">
        <w:rPr>
          <w:rFonts w:ascii="Book Antiqua" w:hAnsi="Book Antiqua"/>
          <w:sz w:val="21"/>
          <w:szCs w:val="21"/>
        </w:rPr>
        <w:t>ztosítani a tartalmas és zavartalan tóparti kikapcsolódás lehetőségét szabályozott formában.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 </w:t>
      </w:r>
    </w:p>
    <w:p w:rsidR="004918AF" w:rsidRPr="009B0B69" w:rsidRDefault="0035107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9B0B69">
        <w:rPr>
          <w:rFonts w:ascii="Book Antiqua" w:hAnsi="Book Antiqua"/>
          <w:sz w:val="21"/>
          <w:szCs w:val="21"/>
        </w:rPr>
        <w:t>Sajnos az elmúlt időszak tapasztalata azt mutatja, hogy a tulajdonosi döntés határozati formában nem elégséges, annak betartása és betarthatósága korlátozott, íg</w:t>
      </w:r>
      <w:r w:rsidRPr="009B0B69">
        <w:rPr>
          <w:rFonts w:ascii="Book Antiqua" w:hAnsi="Book Antiqua"/>
          <w:sz w:val="21"/>
          <w:szCs w:val="21"/>
        </w:rPr>
        <w:t>y a tavak használatának szabályozásához rendeletalkotásra lenne szükség.</w:t>
      </w:r>
    </w:p>
    <w:sectPr w:rsidR="004918AF" w:rsidRPr="009B0B6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5107B">
      <w:r>
        <w:separator/>
      </w:r>
    </w:p>
  </w:endnote>
  <w:endnote w:type="continuationSeparator" w:id="0">
    <w:p w:rsidR="00000000" w:rsidRDefault="0035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AF" w:rsidRDefault="0035107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8AF" w:rsidRDefault="0035107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5107B">
      <w:r>
        <w:separator/>
      </w:r>
    </w:p>
  </w:footnote>
  <w:footnote w:type="continuationSeparator" w:id="0">
    <w:p w:rsidR="00000000" w:rsidRDefault="00351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E7343"/>
    <w:multiLevelType w:val="multilevel"/>
    <w:tmpl w:val="64FA603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8AF"/>
    <w:rsid w:val="00143C5B"/>
    <w:rsid w:val="0035107B"/>
    <w:rsid w:val="004918AF"/>
    <w:rsid w:val="00996A94"/>
    <w:rsid w:val="009B0B69"/>
    <w:rsid w:val="00D0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7865C-45DE-42F8-9E9D-A476DD11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35107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1304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5</cp:revision>
  <dcterms:created xsi:type="dcterms:W3CDTF">2022-06-21T15:16:00Z</dcterms:created>
  <dcterms:modified xsi:type="dcterms:W3CDTF">2022-06-21T15:17:00Z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